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59D35" w14:textId="77777777" w:rsidR="0055516B" w:rsidRDefault="00000000">
      <w:pPr>
        <w:spacing w:after="60"/>
        <w:jc w:val="center"/>
        <w:rPr>
          <w:b/>
          <w:bCs/>
          <w:sz w:val="32"/>
          <w:szCs w:val="32"/>
        </w:rPr>
      </w:pPr>
      <w:r>
        <w:rPr>
          <w:b/>
          <w:bCs/>
          <w:color w:val="000000"/>
          <w:sz w:val="32"/>
          <w:szCs w:val="32"/>
        </w:rPr>
        <w:t xml:space="preserve">2026 넷제로 프렌즈 4기 </w:t>
      </w:r>
      <w:r>
        <w:rPr>
          <w:b/>
          <w:bCs/>
          <w:sz w:val="32"/>
          <w:szCs w:val="32"/>
        </w:rPr>
        <w:t>— 과제 브리프</w:t>
      </w:r>
    </w:p>
    <w:p w14:paraId="44BCEF5E" w14:textId="77777777" w:rsidR="0055516B" w:rsidRDefault="00000000">
      <w:pPr>
        <w:pBdr>
          <w:bottom w:val="single" w:sz="6" w:space="1" w:color="auto"/>
        </w:pBdr>
        <w:spacing w:before="300" w:after="140"/>
        <w:jc w:val="center"/>
        <w:rPr>
          <w:b/>
          <w:bCs/>
          <w:color w:val="0070C0"/>
          <w:sz w:val="28"/>
          <w:szCs w:val="28"/>
        </w:rPr>
      </w:pPr>
      <w:r>
        <w:rPr>
          <w:rFonts w:hint="eastAsia"/>
          <w:b/>
          <w:bCs/>
          <w:color w:val="0070C0"/>
          <w:sz w:val="28"/>
          <w:szCs w:val="28"/>
        </w:rPr>
        <w:t>아모레퍼시픽</w:t>
      </w:r>
    </w:p>
    <w:p w14:paraId="1F37BF51" w14:textId="77777777" w:rsidR="0055516B" w:rsidRDefault="00000000">
      <w:pPr>
        <w:spacing w:before="300" w:after="140"/>
        <w:rPr>
          <w:b/>
          <w:bCs/>
          <w:color w:val="0070C0"/>
          <w:sz w:val="24"/>
          <w:szCs w:val="24"/>
        </w:rPr>
      </w:pPr>
      <w:r>
        <w:rPr>
          <w:rFonts w:hint="eastAsia"/>
          <w:b/>
          <w:bCs/>
          <w:color w:val="0070C0"/>
          <w:sz w:val="32"/>
          <w:szCs w:val="32"/>
        </w:rPr>
        <w:t>기업</w:t>
      </w:r>
      <w:r>
        <w:rPr>
          <w:b/>
          <w:bCs/>
          <w:color w:val="0070C0"/>
          <w:sz w:val="32"/>
          <w:szCs w:val="32"/>
        </w:rPr>
        <w:t xml:space="preserve"> 미션</w:t>
      </w:r>
    </w:p>
    <w:p w14:paraId="38B35BEB" w14:textId="77777777" w:rsidR="0055516B" w:rsidRDefault="00000000">
      <w:pPr>
        <w:spacing w:after="120"/>
      </w:pPr>
      <w:r>
        <w:rPr>
          <w:b/>
          <w:bCs/>
          <w:sz w:val="23"/>
          <w:szCs w:val="23"/>
        </w:rPr>
        <w:t>“We make A MORE beautiful world”</w:t>
      </w:r>
    </w:p>
    <w:p w14:paraId="53DA29E0" w14:textId="77777777" w:rsidR="0055516B" w:rsidRDefault="00000000">
      <w:pPr>
        <w:spacing w:after="120"/>
      </w:pPr>
      <w:r>
        <w:rPr>
          <w:rFonts w:hint="eastAsia"/>
        </w:rPr>
        <w:t>아모레퍼시픽은 "사람과 세상 모두를 아름답게(We make A MORE beautiful world)"라는 미션 아래, 아름다움과 지속가능한 미래를 위한 다양한 활동을 전개하고 있습니다.</w:t>
      </w:r>
    </w:p>
    <w:p w14:paraId="7385589A" w14:textId="77777777" w:rsidR="0055516B" w:rsidRDefault="00000000">
      <w:pPr>
        <w:spacing w:after="120"/>
      </w:pPr>
      <w:r>
        <w:rPr>
          <w:rFonts w:hint="eastAsia"/>
        </w:rPr>
        <w:t>아모레퍼시픽은 단순히 화장품을 판매하는 기업을 넘어, 고객의 일상과 라이프스타일 전반을 아름답고 지속 가능하게 변화시키는 '뉴 뷰티(New Beauty)' 기업을 지향하며, 2030 지속가능경영 약속 'A MORE Beautiful Promise'를 통해 대자연과의 공존을 실천하고 있습니다.</w:t>
      </w:r>
    </w:p>
    <w:p w14:paraId="5DA5112B" w14:textId="77777777" w:rsidR="0055516B" w:rsidRDefault="0055516B">
      <w:pPr>
        <w:spacing w:after="120"/>
      </w:pPr>
    </w:p>
    <w:p w14:paraId="209076F7" w14:textId="77777777" w:rsidR="0055516B" w:rsidRDefault="00000000">
      <w:pPr>
        <w:spacing w:before="300" w:after="140"/>
        <w:rPr>
          <w:b/>
          <w:bCs/>
          <w:color w:val="0070C0"/>
          <w:sz w:val="32"/>
          <w:szCs w:val="32"/>
        </w:rPr>
      </w:pPr>
      <w:r>
        <w:rPr>
          <w:b/>
          <w:bCs/>
          <w:color w:val="0070C0"/>
          <w:sz w:val="32"/>
          <w:szCs w:val="32"/>
        </w:rPr>
        <w:t>과제명</w:t>
      </w:r>
    </w:p>
    <w:p w14:paraId="61309B20" w14:textId="77777777" w:rsidR="0055516B" w:rsidRDefault="00000000">
      <w:pPr>
        <w:spacing w:after="120"/>
        <w:rPr>
          <w:spacing w:val="-14"/>
        </w:rPr>
      </w:pPr>
      <w:r>
        <w:rPr>
          <w:b/>
          <w:bCs/>
          <w:spacing w:val="-14"/>
          <w:sz w:val="24"/>
          <w:szCs w:val="24"/>
        </w:rPr>
        <w:t>‘</w:t>
      </w:r>
      <w:r>
        <w:rPr>
          <w:rFonts w:hint="eastAsia"/>
          <w:b/>
          <w:bCs/>
          <w:spacing w:val="-14"/>
          <w:sz w:val="24"/>
          <w:szCs w:val="24"/>
        </w:rPr>
        <w:t>제품</w:t>
      </w:r>
      <w:r>
        <w:rPr>
          <w:b/>
          <w:bCs/>
          <w:spacing w:val="-14"/>
          <w:sz w:val="24"/>
          <w:szCs w:val="24"/>
        </w:rPr>
        <w:t xml:space="preserve"> 전과정의 탄소발자국을 줄이고</w:t>
      </w:r>
      <w:r>
        <w:rPr>
          <w:rFonts w:hint="eastAsia"/>
          <w:b/>
          <w:bCs/>
          <w:spacing w:val="-14"/>
          <w:sz w:val="24"/>
          <w:szCs w:val="24"/>
        </w:rPr>
        <w:t>,</w:t>
      </w:r>
      <w:r>
        <w:rPr>
          <w:b/>
          <w:bCs/>
          <w:spacing w:val="-14"/>
          <w:sz w:val="24"/>
          <w:szCs w:val="24"/>
        </w:rPr>
        <w:t xml:space="preserve"> 자원순환을 높이는 저탄소 제품·가치소비 확산 제안’</w:t>
      </w:r>
      <w:r>
        <w:rPr>
          <w:rFonts w:hint="eastAsia"/>
          <w:b/>
          <w:bCs/>
          <w:spacing w:val="-14"/>
          <w:sz w:val="24"/>
          <w:szCs w:val="24"/>
        </w:rPr>
        <w:br/>
      </w:r>
    </w:p>
    <w:p w14:paraId="20BBF9B6" w14:textId="77777777" w:rsidR="0055516B" w:rsidRDefault="00000000">
      <w:pPr>
        <w:spacing w:after="120"/>
      </w:pPr>
      <w:r>
        <w:rPr>
          <w:rFonts w:hint="eastAsia"/>
          <w:b/>
          <w:bCs/>
          <w:sz w:val="24"/>
          <w:szCs w:val="24"/>
        </w:rPr>
        <w:t>과제 배경(Background)</w:t>
      </w:r>
      <w:r>
        <w:rPr>
          <w:b/>
          <w:bCs/>
          <w:sz w:val="24"/>
          <w:szCs w:val="24"/>
        </w:rPr>
        <w:br/>
      </w:r>
      <w:r>
        <w:rPr>
          <w:rFonts w:hint="eastAsia"/>
        </w:rPr>
        <w:t>아모레퍼시픽은</w:t>
      </w:r>
      <w:r>
        <w:t xml:space="preserve"> </w:t>
      </w:r>
      <w:r>
        <w:rPr>
          <w:rFonts w:hint="eastAsia"/>
        </w:rPr>
        <w:t>직접</w:t>
      </w:r>
      <w:r>
        <w:t xml:space="preserve"> </w:t>
      </w:r>
      <w:r>
        <w:rPr>
          <w:rFonts w:hint="eastAsia"/>
        </w:rPr>
        <w:t>생산</w:t>
      </w:r>
      <w:r>
        <w:t xml:space="preserve"> </w:t>
      </w:r>
      <w:r>
        <w:rPr>
          <w:rFonts w:hint="eastAsia"/>
        </w:rPr>
        <w:t>및</w:t>
      </w:r>
      <w:r>
        <w:t xml:space="preserve"> </w:t>
      </w:r>
      <w:r>
        <w:rPr>
          <w:rFonts w:hint="eastAsia"/>
        </w:rPr>
        <w:t>관리하는</w:t>
      </w:r>
      <w:r>
        <w:t xml:space="preserve"> </w:t>
      </w:r>
      <w:r>
        <w:rPr>
          <w:rFonts w:hint="eastAsia"/>
        </w:rPr>
        <w:t>사업장</w:t>
      </w:r>
      <w:r>
        <w:t xml:space="preserve"> </w:t>
      </w:r>
      <w:r>
        <w:rPr>
          <w:rFonts w:hint="eastAsia"/>
        </w:rPr>
        <w:t>운영</w:t>
      </w:r>
      <w:r>
        <w:t xml:space="preserve"> </w:t>
      </w:r>
      <w:r>
        <w:rPr>
          <w:rFonts w:hint="eastAsia"/>
        </w:rPr>
        <w:t>범위를</w:t>
      </w:r>
      <w:r>
        <w:t xml:space="preserve"> </w:t>
      </w:r>
      <w:r>
        <w:rPr>
          <w:rFonts w:hint="eastAsia"/>
        </w:rPr>
        <w:t>넘어</w:t>
      </w:r>
      <w:r>
        <w:t>,</w:t>
      </w:r>
      <w:r>
        <w:rPr>
          <w:rFonts w:hint="eastAsia"/>
        </w:rPr>
        <w:t xml:space="preserve"> 제품의</w:t>
      </w:r>
      <w:r>
        <w:t xml:space="preserve"> </w:t>
      </w:r>
      <w:r>
        <w:rPr>
          <w:rFonts w:hint="eastAsia"/>
        </w:rPr>
        <w:t>원료</w:t>
      </w:r>
      <w:r>
        <w:t xml:space="preserve"> </w:t>
      </w:r>
      <w:r>
        <w:rPr>
          <w:rFonts w:hint="eastAsia"/>
        </w:rPr>
        <w:t>조달부터</w:t>
      </w:r>
      <w:r>
        <w:t xml:space="preserve"> </w:t>
      </w:r>
      <w:r>
        <w:rPr>
          <w:rFonts w:hint="eastAsia"/>
        </w:rPr>
        <w:t>생산</w:t>
      </w:r>
      <w:r>
        <w:t>·</w:t>
      </w:r>
      <w:r>
        <w:rPr>
          <w:rFonts w:hint="eastAsia"/>
        </w:rPr>
        <w:t>유통</w:t>
      </w:r>
      <w:r>
        <w:t>·</w:t>
      </w:r>
      <w:r>
        <w:rPr>
          <w:rFonts w:hint="eastAsia"/>
        </w:rPr>
        <w:t>사용</w:t>
      </w:r>
      <w:r>
        <w:t>·</w:t>
      </w:r>
      <w:r>
        <w:rPr>
          <w:rFonts w:hint="eastAsia"/>
        </w:rPr>
        <w:t>폐기에</w:t>
      </w:r>
      <w:r>
        <w:t xml:space="preserve"> </w:t>
      </w:r>
      <w:r>
        <w:rPr>
          <w:rFonts w:hint="eastAsia"/>
        </w:rPr>
        <w:t>이르는 전과정</w:t>
      </w:r>
      <w:r>
        <w:t>Life cycle</w:t>
      </w:r>
      <w:r>
        <w:rPr>
          <w:rFonts w:hint="eastAsia"/>
        </w:rPr>
        <w:t>에서</w:t>
      </w:r>
      <w:r>
        <w:t xml:space="preserve"> </w:t>
      </w:r>
      <w:r>
        <w:rPr>
          <w:rFonts w:hint="eastAsia"/>
        </w:rPr>
        <w:t>발생하는</w:t>
      </w:r>
      <w:r>
        <w:t xml:space="preserve"> </w:t>
      </w:r>
      <w:r>
        <w:rPr>
          <w:rFonts w:hint="eastAsia"/>
        </w:rPr>
        <w:t>환경</w:t>
      </w:r>
      <w:r>
        <w:t xml:space="preserve"> </w:t>
      </w:r>
      <w:r>
        <w:rPr>
          <w:rFonts w:hint="eastAsia"/>
        </w:rPr>
        <w:t>및</w:t>
      </w:r>
      <w:r>
        <w:t xml:space="preserve"> </w:t>
      </w:r>
      <w:r>
        <w:rPr>
          <w:rFonts w:hint="eastAsia"/>
        </w:rPr>
        <w:t>기후</w:t>
      </w:r>
      <w:r>
        <w:t xml:space="preserve"> </w:t>
      </w:r>
      <w:r>
        <w:rPr>
          <w:rFonts w:hint="eastAsia"/>
        </w:rPr>
        <w:t>영향을</w:t>
      </w:r>
      <w:r>
        <w:t xml:space="preserve"> </w:t>
      </w:r>
      <w:r>
        <w:rPr>
          <w:rFonts w:hint="eastAsia"/>
        </w:rPr>
        <w:t>관리하는 방향으로</w:t>
      </w:r>
      <w:r>
        <w:t xml:space="preserve"> </w:t>
      </w:r>
      <w:r>
        <w:rPr>
          <w:rFonts w:hint="eastAsia"/>
        </w:rPr>
        <w:t>책임</w:t>
      </w:r>
      <w:r>
        <w:t xml:space="preserve"> </w:t>
      </w:r>
      <w:r>
        <w:rPr>
          <w:rFonts w:hint="eastAsia"/>
        </w:rPr>
        <w:t>범위를</w:t>
      </w:r>
      <w:r>
        <w:t xml:space="preserve"> </w:t>
      </w:r>
      <w:r>
        <w:rPr>
          <w:rFonts w:hint="eastAsia"/>
        </w:rPr>
        <w:t>확대하였습니다</w:t>
      </w:r>
      <w:r>
        <w:t>.</w:t>
      </w:r>
      <w:r>
        <w:rPr>
          <w:rFonts w:hint="eastAsia"/>
        </w:rPr>
        <w:t xml:space="preserve"> </w:t>
      </w:r>
      <w:r>
        <w:t>화장품은 원료 채취와 포장·제조에서 시작해 구매·사용을 거쳐 폐기에 이르기까지, 제품의 전(全) 과정 어디에서나 온실가스가 배출되고 자원이 소모됩니다. 따라서 기업의 감축 노력과 소비자의 선택이 맞물려야 실질적인 변화가 만들어집니다. 그러나</w:t>
      </w:r>
      <w:r>
        <w:rPr>
          <w:rFonts w:hint="eastAsia"/>
        </w:rPr>
        <w:t xml:space="preserve"> </w:t>
      </w:r>
      <w:r>
        <w:t>저탄소 제품을 고르는 일이 번거롭게 느껴지거나, 무엇을 어떻게 골라야 할지 가늠이 서지 않거나, 나의 선택 하나가 어떤 결과로 이어지는지 확인할 길이 없어 실제 구매·사용으로 옮겨지지 못하는 경우가 적지 않습니다.</w:t>
      </w:r>
    </w:p>
    <w:p w14:paraId="666781D9" w14:textId="77777777" w:rsidR="0055516B" w:rsidRDefault="00000000">
      <w:pPr>
        <w:spacing w:after="120"/>
      </w:pPr>
      <w:r>
        <w:rPr>
          <w:rFonts w:hint="eastAsia"/>
        </w:rPr>
        <w:t>가치</w:t>
      </w:r>
      <w:r>
        <w:t xml:space="preserve">소비가 환경에 민감한 일부 집단의 영역에 머무는 한, </w:t>
      </w:r>
      <w:r>
        <w:rPr>
          <w:rFonts w:hint="eastAsia"/>
        </w:rPr>
        <w:t xml:space="preserve">제품 온실가스 </w:t>
      </w:r>
      <w:r>
        <w:t>감축의 속도와 규모는 제한될 수밖에 없습니다. 진입 장벽을 낮추고, 선택의 결과를 눈에 보이게 하며, 특별한 결심 없이도 일상의 흐름 속에서 이어질 수 있는 새로운 방식의 접근이 요구됩니다.</w:t>
      </w:r>
      <w:r>
        <w:rPr>
          <w:rFonts w:hint="eastAsia"/>
        </w:rPr>
        <w:br/>
      </w:r>
    </w:p>
    <w:p w14:paraId="2BED4DA8" w14:textId="77777777" w:rsidR="0055516B" w:rsidRDefault="00000000">
      <w:pPr>
        <w:widowControl/>
        <w:wordWrap/>
        <w:autoSpaceDE/>
        <w:autoSpaceDN/>
        <w:rPr>
          <w:b/>
          <w:bCs/>
          <w:color w:val="0070C0"/>
          <w:sz w:val="24"/>
          <w:szCs w:val="24"/>
        </w:rPr>
      </w:pPr>
      <w:r>
        <w:rPr>
          <w:b/>
          <w:bCs/>
          <w:color w:val="0070C0"/>
          <w:sz w:val="24"/>
          <w:szCs w:val="24"/>
        </w:rPr>
        <w:br w:type="page"/>
      </w:r>
    </w:p>
    <w:p w14:paraId="49C8E81E" w14:textId="77777777" w:rsidR="0055516B" w:rsidRDefault="00000000">
      <w:pPr>
        <w:spacing w:before="300" w:after="140"/>
        <w:rPr>
          <w:b/>
          <w:bCs/>
          <w:color w:val="0070C0"/>
          <w:sz w:val="32"/>
          <w:szCs w:val="32"/>
        </w:rPr>
      </w:pPr>
      <w:r>
        <w:rPr>
          <w:b/>
          <w:bCs/>
          <w:color w:val="0070C0"/>
          <w:sz w:val="32"/>
          <w:szCs w:val="32"/>
        </w:rPr>
        <w:lastRenderedPageBreak/>
        <w:t>과제 핵심 질문</w:t>
      </w:r>
      <w:r>
        <w:rPr>
          <w:rFonts w:hint="eastAsia"/>
          <w:b/>
          <w:bCs/>
          <w:color w:val="0070C0"/>
          <w:sz w:val="32"/>
          <w:szCs w:val="32"/>
        </w:rPr>
        <w:t>(Challenge)</w:t>
      </w:r>
    </w:p>
    <w:p w14:paraId="3B7DA8AE" w14:textId="77777777" w:rsidR="0055516B" w:rsidRDefault="00000000">
      <w:pPr>
        <w:spacing w:after="120"/>
      </w:pPr>
      <w:r>
        <w:rPr>
          <w:rFonts w:hint="eastAsia"/>
          <w:b/>
          <w:bCs/>
        </w:rPr>
        <w:t>제품을</w:t>
      </w:r>
      <w:r>
        <w:rPr>
          <w:b/>
          <w:bCs/>
        </w:rPr>
        <w:t xml:space="preserve"> 만들고, 사고, 쓰고, 버리는 모든 과정에서 나오는 온실가스(이렇게 한 제품이 평생 배출하는 온실가스 총량을 '탄소발자국'이라고 합니다)를 기업과 소비자가 함께 줄일 수 있는 방법은 무엇일까요</w:t>
      </w:r>
      <w:r>
        <w:rPr>
          <w:rFonts w:hint="eastAsia"/>
          <w:b/>
          <w:bCs/>
        </w:rPr>
        <w:t>?</w:t>
      </w:r>
    </w:p>
    <w:p w14:paraId="5EBCF69F" w14:textId="77777777" w:rsidR="0055516B" w:rsidRDefault="00000000">
      <w:pPr>
        <w:pStyle w:val="a4"/>
        <w:numPr>
          <w:ilvl w:val="0"/>
          <w:numId w:val="1"/>
        </w:numPr>
        <w:spacing w:after="100"/>
      </w:pPr>
      <w:r>
        <w:rPr>
          <w:b/>
          <w:bCs/>
        </w:rPr>
        <w:t>제안 범위</w:t>
      </w:r>
    </w:p>
    <w:p w14:paraId="124E22AF" w14:textId="77777777" w:rsidR="0055516B" w:rsidRDefault="00000000">
      <w:pPr>
        <w:pStyle w:val="a4"/>
        <w:numPr>
          <w:ilvl w:val="0"/>
          <w:numId w:val="2"/>
        </w:numPr>
        <w:spacing w:after="100"/>
      </w:pPr>
      <w:r>
        <w:rPr>
          <w:b/>
          <w:bCs/>
        </w:rPr>
        <w:t xml:space="preserve">전 과정 </w:t>
      </w:r>
      <w:r>
        <w:rPr>
          <w:rFonts w:hint="eastAsia"/>
          <w:b/>
          <w:bCs/>
        </w:rPr>
        <w:t xml:space="preserve">제품 </w:t>
      </w:r>
      <w:r>
        <w:rPr>
          <w:b/>
          <w:bCs/>
        </w:rPr>
        <w:t xml:space="preserve">탄소 </w:t>
      </w:r>
      <w:r>
        <w:rPr>
          <w:rFonts w:hint="eastAsia"/>
          <w:b/>
          <w:bCs/>
        </w:rPr>
        <w:t>감축</w:t>
      </w:r>
      <w:r>
        <w:rPr>
          <w:b/>
          <w:bCs/>
        </w:rPr>
        <w:t xml:space="preserve">: </w:t>
      </w:r>
      <w:r>
        <w:t>원료 → 포장재 → 제조 →</w:t>
      </w:r>
      <w:r>
        <w:rPr>
          <w:rFonts w:hint="eastAsia"/>
        </w:rPr>
        <w:t xml:space="preserve"> </w:t>
      </w:r>
      <w:r>
        <w:t>유통 → 사용 → 폐기로 이어지는 제품의 모든 단계에서 나오는 탄소발자국을 줄이는 방안</w:t>
      </w:r>
    </w:p>
    <w:p w14:paraId="5A953CC9" w14:textId="77777777" w:rsidR="0055516B" w:rsidRDefault="00000000">
      <w:pPr>
        <w:pStyle w:val="a4"/>
        <w:numPr>
          <w:ilvl w:val="0"/>
          <w:numId w:val="2"/>
        </w:numPr>
        <w:spacing w:after="100"/>
      </w:pPr>
      <w:r>
        <w:rPr>
          <w:b/>
          <w:bCs/>
        </w:rPr>
        <w:t xml:space="preserve">저탄소 </w:t>
      </w:r>
      <w:r>
        <w:rPr>
          <w:rFonts w:hint="eastAsia"/>
          <w:b/>
          <w:bCs/>
        </w:rPr>
        <w:t>제품 확산</w:t>
      </w:r>
      <w:r>
        <w:rPr>
          <w:b/>
          <w:bCs/>
        </w:rPr>
        <w:t xml:space="preserve"> 관점: </w:t>
      </w:r>
      <w:r>
        <w:t>저탄소 제품이 더 많이, 더 널리 판매되고, 더 많은 사람이 함께 동참할 수 있도록 만드</w:t>
      </w:r>
      <w:r>
        <w:rPr>
          <w:rFonts w:hint="eastAsia"/>
        </w:rPr>
        <w:t>는 방안</w:t>
      </w:r>
    </w:p>
    <w:p w14:paraId="2A49C11D" w14:textId="77777777" w:rsidR="0055516B" w:rsidRDefault="00000000">
      <w:pPr>
        <w:pStyle w:val="a4"/>
        <w:numPr>
          <w:ilvl w:val="0"/>
          <w:numId w:val="2"/>
        </w:numPr>
        <w:spacing w:after="100"/>
      </w:pPr>
      <w:r>
        <w:rPr>
          <w:rFonts w:hint="eastAsia"/>
          <w:b/>
          <w:bCs/>
        </w:rPr>
        <w:t>순환경제</w:t>
      </w:r>
      <w:r>
        <w:rPr>
          <w:b/>
          <w:bCs/>
        </w:rPr>
        <w:t xml:space="preserve"> 관점</w:t>
      </w:r>
      <w:r>
        <w:t xml:space="preserve">: 다 쓴 제품과 </w:t>
      </w:r>
      <w:r>
        <w:rPr>
          <w:rFonts w:hint="eastAsia"/>
        </w:rPr>
        <w:t>자원을</w:t>
      </w:r>
      <w:r>
        <w:t xml:space="preserve"> 그냥 버리지 않고 다시 쓰는 방안. 회수·재사용·재활용·업사이클(버려질 물건을 더 가치 있는 새 제품으로 재탄생시키는 것) 등을 통해 자원이 버려지지 않고 계속 돌고 돌도록 만드는 것</w:t>
      </w:r>
    </w:p>
    <w:p w14:paraId="6A82440F" w14:textId="77777777" w:rsidR="0055516B" w:rsidRDefault="0055516B">
      <w:pPr>
        <w:spacing w:after="100"/>
        <w:ind w:left="240"/>
      </w:pPr>
    </w:p>
    <w:p w14:paraId="2279DB14" w14:textId="77777777" w:rsidR="0055516B" w:rsidRDefault="00000000">
      <w:pPr>
        <w:spacing w:before="300" w:after="140"/>
        <w:rPr>
          <w:b/>
          <w:bCs/>
          <w:color w:val="004D1C"/>
          <w:sz w:val="32"/>
          <w:szCs w:val="32"/>
        </w:rPr>
      </w:pPr>
      <w:r>
        <w:rPr>
          <w:b/>
          <w:bCs/>
          <w:color w:val="0070C0"/>
          <w:sz w:val="32"/>
          <w:szCs w:val="32"/>
        </w:rPr>
        <w:t>제안 과제</w:t>
      </w:r>
    </w:p>
    <w:p w14:paraId="37D649C2" w14:textId="77777777" w:rsidR="0055516B" w:rsidRDefault="00000000">
      <w:pPr>
        <w:rPr>
          <w:bCs/>
        </w:rPr>
      </w:pPr>
      <w:r>
        <w:t>다음 중 하나 또는 복수 영역을 선택하여 아이디어를 제안할 수 있습니다.</w:t>
      </w:r>
    </w:p>
    <w:p w14:paraId="32D879DC" w14:textId="77777777" w:rsidR="0055516B" w:rsidRDefault="00000000">
      <w:pPr>
        <w:pStyle w:val="a4"/>
        <w:numPr>
          <w:ilvl w:val="0"/>
          <w:numId w:val="3"/>
        </w:numPr>
        <w:rPr>
          <w:bCs/>
        </w:rPr>
      </w:pPr>
      <w:r>
        <w:rPr>
          <w:bCs/>
        </w:rPr>
        <w:t>제조·포장 단계</w:t>
      </w:r>
      <w:r>
        <w:rPr>
          <w:rFonts w:hint="eastAsia"/>
          <w:bCs/>
        </w:rPr>
        <w:t>:</w:t>
      </w:r>
      <w:r>
        <w:rPr>
          <w:bCs/>
        </w:rPr>
        <w:t xml:space="preserve"> </w:t>
      </w:r>
      <w:r>
        <w:rPr>
          <w:b/>
        </w:rPr>
        <w:t>제품 자체의 탄소발자국을 줄이는 아이디어</w:t>
      </w:r>
      <w:r>
        <w:rPr>
          <w:bCs/>
        </w:rPr>
        <w:t xml:space="preserve"> (예시: 포장재 감량, 무포장·경량 패키지, </w:t>
      </w:r>
      <w:r>
        <w:rPr>
          <w:rFonts w:hint="eastAsia"/>
          <w:bCs/>
        </w:rPr>
        <w:t>저탄소 원료 및 포장재 활용 등</w:t>
      </w:r>
      <w:r>
        <w:rPr>
          <w:bCs/>
        </w:rPr>
        <w:t>)</w:t>
      </w:r>
    </w:p>
    <w:p w14:paraId="35C7B35B" w14:textId="77777777" w:rsidR="0055516B" w:rsidRDefault="00000000">
      <w:pPr>
        <w:pStyle w:val="a4"/>
        <w:numPr>
          <w:ilvl w:val="0"/>
          <w:numId w:val="3"/>
        </w:numPr>
        <w:rPr>
          <w:color w:val="000000"/>
        </w:rPr>
      </w:pPr>
      <w:r>
        <w:rPr>
          <w:rFonts w:hint="eastAsia"/>
          <w:color w:val="000000"/>
        </w:rPr>
        <w:t>구매·사용</w:t>
      </w:r>
      <w:r>
        <w:rPr>
          <w:color w:val="000000"/>
        </w:rPr>
        <w:t xml:space="preserve"> 단계: </w:t>
      </w:r>
      <w:r>
        <w:rPr>
          <w:b/>
          <w:color w:val="000000"/>
        </w:rPr>
        <w:t xml:space="preserve">제품을 구매·사용하는 방식과 이를 둘러싼 판매·매장 운영을 지속가능하게 바꾸는 아이디어 </w:t>
      </w:r>
      <w:r>
        <w:rPr>
          <w:color w:val="000000"/>
        </w:rPr>
        <w:t xml:space="preserve">(예시: 매장 냉방온도·조명 효율화, 리필스테이션, 다회용 용기, 매장 </w:t>
      </w:r>
      <w:r>
        <w:rPr>
          <w:rFonts w:hint="eastAsia"/>
          <w:color w:val="000000"/>
        </w:rPr>
        <w:t xml:space="preserve">내 </w:t>
      </w:r>
      <w:r>
        <w:rPr>
          <w:color w:val="000000"/>
        </w:rPr>
        <w:t xml:space="preserve">친환경 </w:t>
      </w:r>
      <w:r>
        <w:rPr>
          <w:rFonts w:hint="eastAsia"/>
          <w:color w:val="000000"/>
        </w:rPr>
        <w:t>구매</w:t>
      </w:r>
      <w:r>
        <w:rPr>
          <w:color w:val="000000"/>
        </w:rPr>
        <w:t xml:space="preserve"> 유도</w:t>
      </w:r>
      <w:r>
        <w:rPr>
          <w:rFonts w:hint="eastAsia"/>
          <w:color w:val="000000"/>
        </w:rPr>
        <w:t xml:space="preserve">, 친환경 </w:t>
      </w:r>
      <w:r>
        <w:rPr>
          <w:color w:val="000000"/>
        </w:rPr>
        <w:t>고객 캠페인, 저탄소 배송, 탄소발자국 표시·라벨링 등)</w:t>
      </w:r>
    </w:p>
    <w:p w14:paraId="49387A02" w14:textId="77777777" w:rsidR="0055516B" w:rsidRDefault="00000000">
      <w:pPr>
        <w:pStyle w:val="a4"/>
        <w:numPr>
          <w:ilvl w:val="0"/>
          <w:numId w:val="3"/>
        </w:numPr>
        <w:rPr>
          <w:bCs/>
        </w:rPr>
      </w:pPr>
      <w:r>
        <w:rPr>
          <w:bCs/>
        </w:rPr>
        <w:t>사용 후 단계</w:t>
      </w:r>
      <w:r>
        <w:rPr>
          <w:rFonts w:hint="eastAsia"/>
          <w:bCs/>
        </w:rPr>
        <w:t xml:space="preserve">: </w:t>
      </w:r>
      <w:r>
        <w:rPr>
          <w:b/>
        </w:rPr>
        <w:t>다 쓴 제품을 자원으로 되돌리는 아이디어</w:t>
      </w:r>
      <w:r>
        <w:rPr>
          <w:bCs/>
        </w:rPr>
        <w:t xml:space="preserve"> (예시: 공병 반납 리워드, 회수 인프라, 분리배출, 업사이클 등)</w:t>
      </w:r>
    </w:p>
    <w:p w14:paraId="16AD714D" w14:textId="77777777" w:rsidR="0055516B" w:rsidRDefault="0055516B">
      <w:pPr>
        <w:rPr>
          <w:bCs/>
        </w:rPr>
      </w:pPr>
    </w:p>
    <w:p w14:paraId="16E050E5" w14:textId="77777777" w:rsidR="0055516B" w:rsidRDefault="00000000">
      <w:pPr>
        <w:rPr>
          <w:bCs/>
        </w:rPr>
      </w:pPr>
      <w:r>
        <w:rPr>
          <w:bCs/>
        </w:rPr>
        <w:t xml:space="preserve">※ </w:t>
      </w:r>
      <w:r>
        <w:rPr>
          <w:rFonts w:hint="eastAsia"/>
          <w:bCs/>
        </w:rPr>
        <w:t xml:space="preserve">단순한 홍보 캠페인과 </w:t>
      </w:r>
      <w:r>
        <w:rPr>
          <w:bCs/>
        </w:rPr>
        <w:t>제품 개발</w:t>
      </w:r>
      <w:r>
        <w:rPr>
          <w:rFonts w:hint="eastAsia"/>
          <w:bCs/>
        </w:rPr>
        <w:t>/</w:t>
      </w:r>
      <w:r>
        <w:rPr>
          <w:bCs/>
        </w:rPr>
        <w:t xml:space="preserve">신제품 제안보다는 </w:t>
      </w:r>
      <w:r>
        <w:rPr>
          <w:rFonts w:hint="eastAsia"/>
          <w:bCs/>
        </w:rPr>
        <w:t xml:space="preserve">사람들의 자연스러운 </w:t>
      </w:r>
      <w:r>
        <w:rPr>
          <w:bCs/>
        </w:rPr>
        <w:t>행동 변화</w:t>
      </w:r>
      <w:r>
        <w:rPr>
          <w:rFonts w:hint="eastAsia"/>
          <w:bCs/>
        </w:rPr>
        <w:t>를 유도할 수 있는</w:t>
      </w:r>
      <w:r>
        <w:rPr>
          <w:bCs/>
        </w:rPr>
        <w:t xml:space="preserve"> </w:t>
      </w:r>
      <w:r>
        <w:rPr>
          <w:rFonts w:hint="eastAsia"/>
          <w:bCs/>
        </w:rPr>
        <w:t>서비스·제도·시스템 등 실제 적용 가능한 아이디어를</w:t>
      </w:r>
      <w:r>
        <w:rPr>
          <w:bCs/>
        </w:rPr>
        <w:t xml:space="preserve"> 우선 고려합니다.</w:t>
      </w:r>
    </w:p>
    <w:p w14:paraId="368C2454" w14:textId="77777777" w:rsidR="0055516B" w:rsidRDefault="0055516B">
      <w:pPr>
        <w:rPr>
          <w:bCs/>
        </w:rPr>
      </w:pPr>
    </w:p>
    <w:p w14:paraId="395A7AC4" w14:textId="77777777" w:rsidR="0055516B" w:rsidRDefault="0055516B">
      <w:pPr>
        <w:rPr>
          <w:bCs/>
        </w:rPr>
      </w:pPr>
    </w:p>
    <w:p w14:paraId="5F247948" w14:textId="77777777" w:rsidR="0055516B" w:rsidRDefault="0055516B">
      <w:pPr>
        <w:rPr>
          <w:bCs/>
        </w:rPr>
      </w:pPr>
    </w:p>
    <w:p w14:paraId="154DB552" w14:textId="77777777" w:rsidR="0055516B" w:rsidRDefault="0055516B">
      <w:pPr>
        <w:rPr>
          <w:bCs/>
        </w:rPr>
      </w:pPr>
    </w:p>
    <w:p w14:paraId="6131CF6C" w14:textId="77777777" w:rsidR="0055516B" w:rsidRDefault="0055516B">
      <w:pPr>
        <w:rPr>
          <w:bCs/>
        </w:rPr>
      </w:pPr>
    </w:p>
    <w:p w14:paraId="4EEF4AC2" w14:textId="77777777" w:rsidR="0055516B" w:rsidRDefault="0055516B">
      <w:pPr>
        <w:rPr>
          <w:bCs/>
        </w:rPr>
      </w:pPr>
    </w:p>
    <w:p w14:paraId="4D13DD3A" w14:textId="77777777" w:rsidR="0055516B" w:rsidRDefault="0055516B">
      <w:pPr>
        <w:rPr>
          <w:bCs/>
        </w:rPr>
      </w:pPr>
    </w:p>
    <w:p w14:paraId="0E1AD15D" w14:textId="77777777" w:rsidR="0055516B" w:rsidRDefault="0055516B">
      <w:pPr>
        <w:rPr>
          <w:bCs/>
        </w:rPr>
      </w:pPr>
    </w:p>
    <w:p w14:paraId="35DEA7B7" w14:textId="08F0A220" w:rsidR="0055516B" w:rsidRDefault="00000000">
      <w:pPr>
        <w:spacing w:before="300" w:after="140"/>
        <w:rPr>
          <w:b/>
          <w:bCs/>
          <w:color w:val="FF0000"/>
          <w:sz w:val="24"/>
          <w:szCs w:val="24"/>
        </w:rPr>
      </w:pPr>
      <w:r>
        <w:rPr>
          <w:b/>
          <w:bCs/>
          <w:color w:val="0070C0"/>
          <w:sz w:val="24"/>
          <w:szCs w:val="24"/>
        </w:rPr>
        <w:lastRenderedPageBreak/>
        <w:t>심사 기준</w:t>
      </w:r>
      <w:r>
        <w:rPr>
          <w:rFonts w:hint="eastAsia"/>
          <w:b/>
          <w:bCs/>
          <w:color w:val="0070C0"/>
          <w:sz w:val="24"/>
          <w:szCs w:val="24"/>
        </w:rPr>
        <w:t xml:space="preserve">[공통적용] </w:t>
      </w:r>
    </w:p>
    <w:p w14:paraId="39D4E389" w14:textId="77777777" w:rsidR="0055516B" w:rsidRDefault="00000000">
      <w:pPr>
        <w:spacing w:after="120"/>
      </w:pPr>
      <w:r>
        <w:rPr>
          <w:rFonts w:hint="eastAsia"/>
        </w:rPr>
        <w:t>제출된 아이디어는 아래 4개 항목을 기준으로 종합 평가합니다.</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
        <w:gridCol w:w="2100"/>
        <w:gridCol w:w="6306"/>
      </w:tblGrid>
      <w:tr w:rsidR="00777247" w14:paraId="6D1273FA" w14:textId="77777777" w:rsidTr="008814DD">
        <w:trPr>
          <w:tblHeader/>
          <w:jc w:val="center"/>
        </w:trPr>
        <w:tc>
          <w:tcPr>
            <w:tcW w:w="620" w:type="dxa"/>
            <w:tcBorders>
              <w:top w:val="single" w:sz="1" w:space="0" w:color="D9D9D9"/>
              <w:left w:val="single" w:sz="1" w:space="0" w:color="D9D9D9"/>
              <w:bottom w:val="single" w:sz="1" w:space="0" w:color="D9D9D9"/>
              <w:right w:val="single" w:sz="1" w:space="0" w:color="D9D9D9"/>
            </w:tcBorders>
            <w:shd w:val="clear" w:color="auto" w:fill="1F3A5F"/>
            <w:tcMar>
              <w:top w:w="80" w:type="dxa"/>
              <w:left w:w="140" w:type="dxa"/>
              <w:bottom w:w="80" w:type="dxa"/>
              <w:right w:w="140" w:type="dxa"/>
            </w:tcMar>
            <w:vAlign w:val="center"/>
          </w:tcPr>
          <w:p w14:paraId="1FA3C1F8" w14:textId="77777777" w:rsidR="00777247" w:rsidRDefault="00777247" w:rsidP="008814DD">
            <w:pPr>
              <w:jc w:val="center"/>
            </w:pPr>
            <w:r>
              <w:rPr>
                <w:b/>
                <w:bCs/>
                <w:color w:val="FFFFFF"/>
                <w:sz w:val="20"/>
                <w:szCs w:val="20"/>
              </w:rPr>
              <w:t>No</w:t>
            </w:r>
          </w:p>
        </w:tc>
        <w:tc>
          <w:tcPr>
            <w:tcW w:w="2100" w:type="dxa"/>
            <w:tcBorders>
              <w:top w:val="single" w:sz="1" w:space="0" w:color="D9D9D9"/>
              <w:left w:val="single" w:sz="1" w:space="0" w:color="D9D9D9"/>
              <w:bottom w:val="single" w:sz="1" w:space="0" w:color="D9D9D9"/>
              <w:right w:val="single" w:sz="1" w:space="0" w:color="D9D9D9"/>
            </w:tcBorders>
            <w:shd w:val="clear" w:color="auto" w:fill="1F3A5F"/>
            <w:tcMar>
              <w:top w:w="80" w:type="dxa"/>
              <w:left w:w="140" w:type="dxa"/>
              <w:bottom w:w="80" w:type="dxa"/>
              <w:right w:w="140" w:type="dxa"/>
            </w:tcMar>
            <w:vAlign w:val="center"/>
          </w:tcPr>
          <w:p w14:paraId="68551C83" w14:textId="77777777" w:rsidR="00777247" w:rsidRDefault="00777247" w:rsidP="008814DD">
            <w:pPr>
              <w:jc w:val="center"/>
            </w:pPr>
            <w:r>
              <w:rPr>
                <w:b/>
                <w:bCs/>
                <w:color w:val="FFFFFF"/>
                <w:sz w:val="20"/>
                <w:szCs w:val="20"/>
              </w:rPr>
              <w:t>심사 항목</w:t>
            </w:r>
          </w:p>
        </w:tc>
        <w:tc>
          <w:tcPr>
            <w:tcW w:w="6306" w:type="dxa"/>
            <w:tcBorders>
              <w:top w:val="single" w:sz="1" w:space="0" w:color="D9D9D9"/>
              <w:left w:val="single" w:sz="1" w:space="0" w:color="D9D9D9"/>
              <w:bottom w:val="single" w:sz="1" w:space="0" w:color="D9D9D9"/>
              <w:right w:val="single" w:sz="1" w:space="0" w:color="D9D9D9"/>
            </w:tcBorders>
            <w:shd w:val="clear" w:color="auto" w:fill="1F3A5F"/>
            <w:tcMar>
              <w:top w:w="80" w:type="dxa"/>
              <w:left w:w="140" w:type="dxa"/>
              <w:bottom w:w="80" w:type="dxa"/>
              <w:right w:w="140" w:type="dxa"/>
            </w:tcMar>
            <w:vAlign w:val="center"/>
          </w:tcPr>
          <w:p w14:paraId="2433AA21" w14:textId="77777777" w:rsidR="00777247" w:rsidRDefault="00777247" w:rsidP="008814DD">
            <w:r>
              <w:rPr>
                <w:b/>
                <w:bCs/>
                <w:color w:val="FFFFFF"/>
                <w:sz w:val="20"/>
                <w:szCs w:val="20"/>
              </w:rPr>
              <w:t>세부 기준</w:t>
            </w:r>
          </w:p>
        </w:tc>
      </w:tr>
      <w:tr w:rsidR="00777247" w14:paraId="2791703C" w14:textId="77777777" w:rsidTr="008814DD">
        <w:trPr>
          <w:jc w:val="center"/>
        </w:trPr>
        <w:tc>
          <w:tcPr>
            <w:tcW w:w="620" w:type="dxa"/>
            <w:tcBorders>
              <w:top w:val="single" w:sz="1" w:space="0" w:color="D9D9D9"/>
              <w:left w:val="single" w:sz="1" w:space="0" w:color="D9D9D9"/>
              <w:bottom w:val="single" w:sz="1" w:space="0" w:color="D9D9D9"/>
              <w:right w:val="single" w:sz="1" w:space="0" w:color="D9D9D9"/>
            </w:tcBorders>
            <w:tcMar>
              <w:top w:w="80" w:type="dxa"/>
              <w:left w:w="140" w:type="dxa"/>
              <w:bottom w:w="80" w:type="dxa"/>
              <w:right w:w="140" w:type="dxa"/>
            </w:tcMar>
            <w:vAlign w:val="center"/>
          </w:tcPr>
          <w:p w14:paraId="77F81C4D" w14:textId="77777777" w:rsidR="00777247" w:rsidRPr="00BD11D4" w:rsidRDefault="00777247" w:rsidP="008814DD">
            <w:pPr>
              <w:jc w:val="center"/>
              <w:rPr>
                <w:color w:val="404040" w:themeColor="text1" w:themeTint="BF"/>
              </w:rPr>
            </w:pPr>
            <w:r w:rsidRPr="00BD11D4">
              <w:rPr>
                <w:b/>
                <w:bCs/>
                <w:color w:val="404040" w:themeColor="text1" w:themeTint="BF"/>
                <w:sz w:val="20"/>
                <w:szCs w:val="20"/>
              </w:rPr>
              <w:t>1</w:t>
            </w:r>
          </w:p>
        </w:tc>
        <w:tc>
          <w:tcPr>
            <w:tcW w:w="2100" w:type="dxa"/>
            <w:tcBorders>
              <w:top w:val="single" w:sz="1" w:space="0" w:color="D9D9D9"/>
              <w:left w:val="single" w:sz="1" w:space="0" w:color="D9D9D9"/>
              <w:bottom w:val="single" w:sz="1" w:space="0" w:color="D9D9D9"/>
              <w:right w:val="single" w:sz="1" w:space="0" w:color="D9D9D9"/>
            </w:tcBorders>
            <w:tcMar>
              <w:top w:w="80" w:type="dxa"/>
              <w:left w:w="140" w:type="dxa"/>
              <w:bottom w:w="80" w:type="dxa"/>
              <w:right w:w="140" w:type="dxa"/>
            </w:tcMar>
            <w:vAlign w:val="center"/>
          </w:tcPr>
          <w:p w14:paraId="0462B821" w14:textId="77777777" w:rsidR="00777247" w:rsidRPr="00BD11D4" w:rsidRDefault="00777247" w:rsidP="008814DD">
            <w:pPr>
              <w:rPr>
                <w:color w:val="404040" w:themeColor="text1" w:themeTint="BF"/>
              </w:rPr>
            </w:pPr>
            <w:r w:rsidRPr="00BD11D4">
              <w:rPr>
                <w:b/>
                <w:bCs/>
                <w:color w:val="404040" w:themeColor="text1" w:themeTint="BF"/>
                <w:sz w:val="20"/>
                <w:szCs w:val="20"/>
              </w:rPr>
              <w:t>문제의 중요성</w:t>
            </w:r>
          </w:p>
        </w:tc>
        <w:tc>
          <w:tcPr>
            <w:tcW w:w="6306" w:type="dxa"/>
            <w:tcBorders>
              <w:top w:val="single" w:sz="1" w:space="0" w:color="D9D9D9"/>
              <w:left w:val="single" w:sz="1" w:space="0" w:color="D9D9D9"/>
              <w:bottom w:val="single" w:sz="1" w:space="0" w:color="D9D9D9"/>
              <w:right w:val="single" w:sz="1" w:space="0" w:color="D9D9D9"/>
            </w:tcBorders>
            <w:tcMar>
              <w:top w:w="80" w:type="dxa"/>
              <w:left w:w="140" w:type="dxa"/>
              <w:bottom w:w="80" w:type="dxa"/>
              <w:right w:w="140" w:type="dxa"/>
            </w:tcMar>
            <w:vAlign w:val="center"/>
          </w:tcPr>
          <w:p w14:paraId="5A3E6ABB" w14:textId="77777777" w:rsidR="00777247" w:rsidRPr="00BD11D4" w:rsidRDefault="00777247" w:rsidP="008814DD">
            <w:pPr>
              <w:rPr>
                <w:color w:val="404040" w:themeColor="text1" w:themeTint="BF"/>
              </w:rPr>
            </w:pPr>
            <w:r w:rsidRPr="00BD11D4">
              <w:rPr>
                <w:color w:val="404040" w:themeColor="text1" w:themeTint="BF"/>
                <w:sz w:val="20"/>
                <w:szCs w:val="20"/>
              </w:rPr>
              <w:t>다루는 환경·기후 문제가 얼마나 중요하고 시급한가? 문제 정의가 명확하고 설득력 있는가?</w:t>
            </w:r>
          </w:p>
        </w:tc>
      </w:tr>
      <w:tr w:rsidR="00777247" w14:paraId="175E2991" w14:textId="77777777" w:rsidTr="008814DD">
        <w:trPr>
          <w:trHeight w:val="772"/>
          <w:jc w:val="center"/>
        </w:trPr>
        <w:tc>
          <w:tcPr>
            <w:tcW w:w="620" w:type="dxa"/>
            <w:tcBorders>
              <w:top w:val="single" w:sz="1" w:space="0" w:color="D9D9D9"/>
              <w:left w:val="single" w:sz="1" w:space="0" w:color="D9D9D9"/>
              <w:bottom w:val="single" w:sz="1" w:space="0" w:color="D9D9D9"/>
              <w:right w:val="single" w:sz="1" w:space="0" w:color="D9D9D9"/>
            </w:tcBorders>
            <w:vAlign w:val="center"/>
          </w:tcPr>
          <w:p w14:paraId="118B81A5" w14:textId="77777777" w:rsidR="00777247" w:rsidRPr="00BD11D4" w:rsidRDefault="00777247" w:rsidP="008814DD">
            <w:pPr>
              <w:jc w:val="center"/>
              <w:rPr>
                <w:color w:val="404040" w:themeColor="text1" w:themeTint="BF"/>
              </w:rPr>
            </w:pPr>
            <w:r w:rsidRPr="00BD11D4">
              <w:rPr>
                <w:color w:val="404040" w:themeColor="text1" w:themeTint="BF"/>
                <w:sz w:val="20"/>
              </w:rPr>
              <w:t xml:space="preserve">2 </w:t>
            </w:r>
          </w:p>
        </w:tc>
        <w:tc>
          <w:tcPr>
            <w:tcW w:w="2100" w:type="dxa"/>
            <w:tcBorders>
              <w:top w:val="single" w:sz="1" w:space="0" w:color="D9D9D9"/>
              <w:left w:val="single" w:sz="1" w:space="0" w:color="D9D9D9"/>
              <w:bottom w:val="single" w:sz="1" w:space="0" w:color="D9D9D9"/>
              <w:right w:val="single" w:sz="1" w:space="0" w:color="D9D9D9"/>
            </w:tcBorders>
            <w:vAlign w:val="center"/>
          </w:tcPr>
          <w:p w14:paraId="2FF9543C" w14:textId="77777777" w:rsidR="00777247" w:rsidRPr="00BD11D4" w:rsidRDefault="00777247" w:rsidP="008814DD">
            <w:pPr>
              <w:rPr>
                <w:color w:val="404040" w:themeColor="text1" w:themeTint="BF"/>
              </w:rPr>
            </w:pPr>
            <w:r w:rsidRPr="00BD11D4">
              <w:rPr>
                <w:b/>
                <w:bCs/>
                <w:color w:val="404040" w:themeColor="text1" w:themeTint="BF"/>
                <w:sz w:val="20"/>
              </w:rPr>
              <w:t xml:space="preserve">  창의성</w:t>
            </w:r>
          </w:p>
        </w:tc>
        <w:tc>
          <w:tcPr>
            <w:tcW w:w="6306" w:type="dxa"/>
            <w:tcBorders>
              <w:top w:val="single" w:sz="1" w:space="0" w:color="D9D9D9"/>
              <w:left w:val="single" w:sz="1" w:space="0" w:color="D9D9D9"/>
              <w:bottom w:val="single" w:sz="1" w:space="0" w:color="D9D9D9"/>
              <w:right w:val="single" w:sz="1" w:space="0" w:color="D9D9D9"/>
            </w:tcBorders>
            <w:vAlign w:val="center"/>
          </w:tcPr>
          <w:p w14:paraId="0B214B9B" w14:textId="77777777" w:rsidR="00777247" w:rsidRPr="00BD11D4" w:rsidRDefault="00777247" w:rsidP="008814DD">
            <w:pPr>
              <w:rPr>
                <w:color w:val="404040" w:themeColor="text1" w:themeTint="BF"/>
              </w:rPr>
            </w:pPr>
            <w:r w:rsidRPr="00BD11D4">
              <w:rPr>
                <w:color w:val="404040" w:themeColor="text1" w:themeTint="BF"/>
                <w:sz w:val="20"/>
              </w:rPr>
              <w:t xml:space="preserve">  제시한 아이디어가 새롭고 신선한가? </w:t>
            </w:r>
          </w:p>
        </w:tc>
      </w:tr>
      <w:tr w:rsidR="00777247" w14:paraId="50D790EE" w14:textId="77777777" w:rsidTr="008814DD">
        <w:trPr>
          <w:jc w:val="center"/>
        </w:trPr>
        <w:tc>
          <w:tcPr>
            <w:tcW w:w="620" w:type="dxa"/>
            <w:tcBorders>
              <w:top w:val="single" w:sz="1" w:space="0" w:color="D9D9D9"/>
              <w:left w:val="single" w:sz="1" w:space="0" w:color="D9D9D9"/>
              <w:bottom w:val="single" w:sz="1" w:space="0" w:color="D9D9D9"/>
              <w:right w:val="single" w:sz="1" w:space="0" w:color="D9D9D9"/>
            </w:tcBorders>
            <w:tcMar>
              <w:top w:w="80" w:type="dxa"/>
              <w:left w:w="140" w:type="dxa"/>
              <w:bottom w:w="80" w:type="dxa"/>
              <w:right w:w="140" w:type="dxa"/>
            </w:tcMar>
            <w:vAlign w:val="center"/>
          </w:tcPr>
          <w:p w14:paraId="126D5241" w14:textId="77777777" w:rsidR="00777247" w:rsidRPr="00BD11D4" w:rsidRDefault="00777247" w:rsidP="008814DD">
            <w:pPr>
              <w:jc w:val="center"/>
              <w:rPr>
                <w:color w:val="404040" w:themeColor="text1" w:themeTint="BF"/>
              </w:rPr>
            </w:pPr>
            <w:r w:rsidRPr="00BD11D4">
              <w:rPr>
                <w:b/>
                <w:bCs/>
                <w:color w:val="404040" w:themeColor="text1" w:themeTint="BF"/>
                <w:sz w:val="20"/>
                <w:szCs w:val="20"/>
              </w:rPr>
              <w:t>3</w:t>
            </w:r>
          </w:p>
        </w:tc>
        <w:tc>
          <w:tcPr>
            <w:tcW w:w="2100" w:type="dxa"/>
            <w:tcBorders>
              <w:top w:val="single" w:sz="1" w:space="0" w:color="D9D9D9"/>
              <w:left w:val="single" w:sz="1" w:space="0" w:color="D9D9D9"/>
              <w:bottom w:val="single" w:sz="1" w:space="0" w:color="D9D9D9"/>
              <w:right w:val="single" w:sz="1" w:space="0" w:color="D9D9D9"/>
            </w:tcBorders>
            <w:tcMar>
              <w:top w:w="80" w:type="dxa"/>
              <w:left w:w="140" w:type="dxa"/>
              <w:bottom w:w="80" w:type="dxa"/>
              <w:right w:w="140" w:type="dxa"/>
            </w:tcMar>
            <w:vAlign w:val="center"/>
          </w:tcPr>
          <w:p w14:paraId="06F95265" w14:textId="77777777" w:rsidR="00777247" w:rsidRPr="00BD11D4" w:rsidRDefault="00777247" w:rsidP="008814DD">
            <w:pPr>
              <w:rPr>
                <w:color w:val="404040" w:themeColor="text1" w:themeTint="BF"/>
              </w:rPr>
            </w:pPr>
            <w:r w:rsidRPr="00BD11D4">
              <w:rPr>
                <w:b/>
                <w:bCs/>
                <w:color w:val="404040" w:themeColor="text1" w:themeTint="BF"/>
                <w:sz w:val="20"/>
                <w:szCs w:val="20"/>
              </w:rPr>
              <w:t>효과성</w:t>
            </w:r>
          </w:p>
        </w:tc>
        <w:tc>
          <w:tcPr>
            <w:tcW w:w="6306" w:type="dxa"/>
            <w:tcBorders>
              <w:top w:val="single" w:sz="1" w:space="0" w:color="D9D9D9"/>
              <w:left w:val="single" w:sz="1" w:space="0" w:color="D9D9D9"/>
              <w:bottom w:val="single" w:sz="1" w:space="0" w:color="D9D9D9"/>
              <w:right w:val="single" w:sz="1" w:space="0" w:color="D9D9D9"/>
            </w:tcBorders>
            <w:tcMar>
              <w:top w:w="80" w:type="dxa"/>
              <w:left w:w="140" w:type="dxa"/>
              <w:bottom w:w="80" w:type="dxa"/>
              <w:right w:w="140" w:type="dxa"/>
            </w:tcMar>
            <w:vAlign w:val="center"/>
          </w:tcPr>
          <w:p w14:paraId="25DAAACF" w14:textId="77777777" w:rsidR="00777247" w:rsidRPr="00BD11D4" w:rsidRDefault="00777247" w:rsidP="008814DD">
            <w:pPr>
              <w:rPr>
                <w:color w:val="404040" w:themeColor="text1" w:themeTint="BF"/>
              </w:rPr>
            </w:pPr>
            <w:r w:rsidRPr="00BD11D4">
              <w:rPr>
                <w:color w:val="404040" w:themeColor="text1" w:themeTint="BF"/>
                <w:sz w:val="20"/>
                <w:szCs w:val="20"/>
              </w:rPr>
              <w:t xml:space="preserve">아이디어가 실제 탄소 감축·행동 변화에 얼마나 유의미한 효과가 있는가? 효과를 측정하거나 설명할 수 있는가? </w:t>
            </w:r>
          </w:p>
        </w:tc>
      </w:tr>
      <w:tr w:rsidR="00777247" w14:paraId="675AAD44" w14:textId="77777777" w:rsidTr="008814DD">
        <w:trPr>
          <w:jc w:val="center"/>
        </w:trPr>
        <w:tc>
          <w:tcPr>
            <w:tcW w:w="620" w:type="dxa"/>
            <w:tcBorders>
              <w:top w:val="single" w:sz="1" w:space="0" w:color="D9D9D9"/>
              <w:left w:val="single" w:sz="1" w:space="0" w:color="D9D9D9"/>
              <w:bottom w:val="single" w:sz="1" w:space="0" w:color="D9D9D9"/>
              <w:right w:val="single" w:sz="1" w:space="0" w:color="D9D9D9"/>
            </w:tcBorders>
            <w:tcMar>
              <w:top w:w="80" w:type="dxa"/>
              <w:left w:w="140" w:type="dxa"/>
              <w:bottom w:w="80" w:type="dxa"/>
              <w:right w:w="140" w:type="dxa"/>
            </w:tcMar>
            <w:vAlign w:val="center"/>
          </w:tcPr>
          <w:p w14:paraId="78DFCA1B" w14:textId="77777777" w:rsidR="00777247" w:rsidRPr="00BD11D4" w:rsidRDefault="00777247" w:rsidP="008814DD">
            <w:pPr>
              <w:jc w:val="center"/>
              <w:rPr>
                <w:color w:val="404040" w:themeColor="text1" w:themeTint="BF"/>
              </w:rPr>
            </w:pPr>
            <w:r w:rsidRPr="00BD11D4">
              <w:rPr>
                <w:b/>
                <w:bCs/>
                <w:color w:val="404040" w:themeColor="text1" w:themeTint="BF"/>
                <w:sz w:val="20"/>
                <w:szCs w:val="20"/>
              </w:rPr>
              <w:t>4</w:t>
            </w:r>
          </w:p>
        </w:tc>
        <w:tc>
          <w:tcPr>
            <w:tcW w:w="2100" w:type="dxa"/>
            <w:tcBorders>
              <w:top w:val="single" w:sz="1" w:space="0" w:color="D9D9D9"/>
              <w:left w:val="single" w:sz="1" w:space="0" w:color="D9D9D9"/>
              <w:bottom w:val="single" w:sz="1" w:space="0" w:color="D9D9D9"/>
              <w:right w:val="single" w:sz="1" w:space="0" w:color="D9D9D9"/>
            </w:tcBorders>
            <w:tcMar>
              <w:top w:w="80" w:type="dxa"/>
              <w:left w:w="140" w:type="dxa"/>
              <w:bottom w:w="80" w:type="dxa"/>
              <w:right w:w="140" w:type="dxa"/>
            </w:tcMar>
            <w:vAlign w:val="center"/>
          </w:tcPr>
          <w:p w14:paraId="3C59713C" w14:textId="77777777" w:rsidR="00777247" w:rsidRPr="00BD11D4" w:rsidRDefault="00777247" w:rsidP="008814DD">
            <w:pPr>
              <w:rPr>
                <w:color w:val="404040" w:themeColor="text1" w:themeTint="BF"/>
              </w:rPr>
            </w:pPr>
            <w:r w:rsidRPr="00BD11D4">
              <w:rPr>
                <w:b/>
                <w:bCs/>
                <w:color w:val="404040" w:themeColor="text1" w:themeTint="BF"/>
                <w:sz w:val="20"/>
                <w:szCs w:val="20"/>
              </w:rPr>
              <w:t>실현 가능성</w:t>
            </w:r>
          </w:p>
        </w:tc>
        <w:tc>
          <w:tcPr>
            <w:tcW w:w="6306" w:type="dxa"/>
            <w:tcBorders>
              <w:top w:val="single" w:sz="1" w:space="0" w:color="D9D9D9"/>
              <w:left w:val="single" w:sz="1" w:space="0" w:color="D9D9D9"/>
              <w:bottom w:val="single" w:sz="1" w:space="0" w:color="D9D9D9"/>
              <w:right w:val="single" w:sz="1" w:space="0" w:color="D9D9D9"/>
            </w:tcBorders>
            <w:tcMar>
              <w:top w:w="80" w:type="dxa"/>
              <w:left w:w="140" w:type="dxa"/>
              <w:bottom w:w="80" w:type="dxa"/>
              <w:right w:w="140" w:type="dxa"/>
            </w:tcMar>
            <w:vAlign w:val="center"/>
          </w:tcPr>
          <w:p w14:paraId="4E59D55A" w14:textId="77777777" w:rsidR="00777247" w:rsidRPr="00BD11D4" w:rsidRDefault="00777247" w:rsidP="008814DD">
            <w:pPr>
              <w:rPr>
                <w:color w:val="404040" w:themeColor="text1" w:themeTint="BF"/>
              </w:rPr>
            </w:pPr>
            <w:r w:rsidRPr="00BD11D4">
              <w:rPr>
                <w:color w:val="404040" w:themeColor="text1" w:themeTint="BF"/>
                <w:sz w:val="20"/>
                <w:szCs w:val="20"/>
              </w:rPr>
              <w:t>해당 기업의 자원·역량으로 실제 구현 가능한가? 기술·비용·운영 측면에서 현실적인가?</w:t>
            </w:r>
          </w:p>
        </w:tc>
      </w:tr>
      <w:tr w:rsidR="00777247" w14:paraId="02C902FF" w14:textId="77777777" w:rsidTr="008814DD">
        <w:trPr>
          <w:jc w:val="center"/>
        </w:trPr>
        <w:tc>
          <w:tcPr>
            <w:tcW w:w="620" w:type="dxa"/>
            <w:tcBorders>
              <w:top w:val="single" w:sz="1" w:space="0" w:color="D9D9D9"/>
              <w:left w:val="single" w:sz="1" w:space="0" w:color="D9D9D9"/>
              <w:bottom w:val="single" w:sz="1" w:space="0" w:color="D9D9D9"/>
              <w:right w:val="single" w:sz="1" w:space="0" w:color="D9D9D9"/>
            </w:tcBorders>
            <w:tcMar>
              <w:top w:w="80" w:type="dxa"/>
              <w:left w:w="140" w:type="dxa"/>
              <w:bottom w:w="80" w:type="dxa"/>
              <w:right w:w="140" w:type="dxa"/>
            </w:tcMar>
            <w:vAlign w:val="center"/>
          </w:tcPr>
          <w:p w14:paraId="1CB60629" w14:textId="77777777" w:rsidR="00777247" w:rsidRPr="00BD11D4" w:rsidRDefault="00777247" w:rsidP="008814DD">
            <w:pPr>
              <w:jc w:val="center"/>
              <w:rPr>
                <w:color w:val="404040" w:themeColor="text1" w:themeTint="BF"/>
              </w:rPr>
            </w:pPr>
            <w:r w:rsidRPr="00BD11D4">
              <w:rPr>
                <w:b/>
                <w:bCs/>
                <w:color w:val="404040" w:themeColor="text1" w:themeTint="BF"/>
                <w:sz w:val="20"/>
                <w:szCs w:val="20"/>
              </w:rPr>
              <w:t>5</w:t>
            </w:r>
          </w:p>
        </w:tc>
        <w:tc>
          <w:tcPr>
            <w:tcW w:w="2100" w:type="dxa"/>
            <w:tcBorders>
              <w:top w:val="single" w:sz="1" w:space="0" w:color="D9D9D9"/>
              <w:left w:val="single" w:sz="1" w:space="0" w:color="D9D9D9"/>
              <w:bottom w:val="single" w:sz="1" w:space="0" w:color="D9D9D9"/>
              <w:right w:val="single" w:sz="1" w:space="0" w:color="D9D9D9"/>
            </w:tcBorders>
            <w:tcMar>
              <w:top w:w="80" w:type="dxa"/>
              <w:left w:w="140" w:type="dxa"/>
              <w:bottom w:w="80" w:type="dxa"/>
              <w:right w:w="140" w:type="dxa"/>
            </w:tcMar>
            <w:vAlign w:val="center"/>
          </w:tcPr>
          <w:p w14:paraId="0E17216C" w14:textId="77777777" w:rsidR="00777247" w:rsidRPr="00BD11D4" w:rsidRDefault="00777247" w:rsidP="008814DD">
            <w:pPr>
              <w:rPr>
                <w:color w:val="404040" w:themeColor="text1" w:themeTint="BF"/>
              </w:rPr>
            </w:pPr>
            <w:r w:rsidRPr="00BD11D4">
              <w:rPr>
                <w:b/>
                <w:bCs/>
                <w:color w:val="404040" w:themeColor="text1" w:themeTint="BF"/>
                <w:sz w:val="20"/>
                <w:szCs w:val="20"/>
              </w:rPr>
              <w:t>확장성</w:t>
            </w:r>
          </w:p>
        </w:tc>
        <w:tc>
          <w:tcPr>
            <w:tcW w:w="6306" w:type="dxa"/>
            <w:tcBorders>
              <w:top w:val="single" w:sz="1" w:space="0" w:color="D9D9D9"/>
              <w:left w:val="single" w:sz="1" w:space="0" w:color="D9D9D9"/>
              <w:bottom w:val="single" w:sz="1" w:space="0" w:color="D9D9D9"/>
              <w:right w:val="single" w:sz="1" w:space="0" w:color="D9D9D9"/>
            </w:tcBorders>
            <w:tcMar>
              <w:top w:w="80" w:type="dxa"/>
              <w:left w:w="140" w:type="dxa"/>
              <w:bottom w:w="80" w:type="dxa"/>
              <w:right w:w="140" w:type="dxa"/>
            </w:tcMar>
            <w:vAlign w:val="center"/>
          </w:tcPr>
          <w:p w14:paraId="2869ED80" w14:textId="77777777" w:rsidR="00777247" w:rsidRPr="00BD11D4" w:rsidRDefault="00777247" w:rsidP="008814DD">
            <w:pPr>
              <w:rPr>
                <w:color w:val="404040" w:themeColor="text1" w:themeTint="BF"/>
              </w:rPr>
            </w:pPr>
            <w:r w:rsidRPr="00BD11D4">
              <w:rPr>
                <w:color w:val="404040" w:themeColor="text1" w:themeTint="BF"/>
                <w:sz w:val="20"/>
                <w:szCs w:val="20"/>
              </w:rPr>
              <w:t>일회성에 그치지 않고 다른 영역·산업·사회로 확산될 잠재력이 있는가? 지속·성장 가능한 구조인가?</w:t>
            </w:r>
          </w:p>
        </w:tc>
      </w:tr>
    </w:tbl>
    <w:p w14:paraId="0F65A68F" w14:textId="77777777" w:rsidR="0055516B" w:rsidRPr="00777247" w:rsidRDefault="0055516B">
      <w:pPr>
        <w:spacing w:before="300" w:after="140"/>
        <w:rPr>
          <w:b/>
          <w:bCs/>
          <w:color w:val="0070C0"/>
          <w:sz w:val="24"/>
          <w:szCs w:val="24"/>
        </w:rPr>
      </w:pPr>
    </w:p>
    <w:sectPr w:rsidR="0055516B" w:rsidRPr="0077724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default"/>
    <w:sig w:usb0="B00002AF" w:usb1="69D77CFB" w:usb2="00000030" w:usb3="00000001" w:csb0="4008009F" w:csb1="DFD7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83F99"/>
    <w:multiLevelType w:val="hybridMultilevel"/>
    <w:tmpl w:val="4AE6EA24"/>
    <w:lvl w:ilvl="0" w:tplc="27BA5CB0">
      <w:numFmt w:val="bullet"/>
      <w:lvlText w:val="-"/>
      <w:lvlJc w:val="left"/>
      <w:pPr>
        <w:ind w:left="840" w:hanging="360"/>
      </w:pPr>
      <w:rPr>
        <w:rFonts w:ascii="맑은 고딕" w:eastAsia="맑은 고딕" w:hAnsi="맑은 고딕" w:cs="맑은 고딕" w:hint="eastAsia"/>
        <w:b/>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1" w15:restartNumberingAfterBreak="0">
    <w:nsid w:val="3DD55942"/>
    <w:multiLevelType w:val="hybridMultilevel"/>
    <w:tmpl w:val="CAF0FAC0"/>
    <w:lvl w:ilvl="0" w:tplc="58FE8708">
      <w:start w:val="1"/>
      <w:numFmt w:val="decimalEnclosedCircle"/>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41A34BF3"/>
    <w:multiLevelType w:val="hybridMultilevel"/>
    <w:tmpl w:val="D53616FA"/>
    <w:lvl w:ilvl="0" w:tplc="ED3A7076">
      <w:start w:val="1"/>
      <w:numFmt w:val="bullet"/>
      <w:lvlText w:val="•"/>
      <w:lvlJc w:val="left"/>
      <w:pPr>
        <w:ind w:left="480" w:hanging="240"/>
      </w:pPr>
    </w:lvl>
    <w:lvl w:ilvl="1" w:tplc="DD0A85D6">
      <w:numFmt w:val="decimal"/>
      <w:lvlText w:val=""/>
      <w:lvlJc w:val="left"/>
    </w:lvl>
    <w:lvl w:ilvl="2" w:tplc="FA065ADA">
      <w:numFmt w:val="decimal"/>
      <w:lvlText w:val=""/>
      <w:lvlJc w:val="left"/>
    </w:lvl>
    <w:lvl w:ilvl="3" w:tplc="E12297E0">
      <w:numFmt w:val="decimal"/>
      <w:lvlText w:val=""/>
      <w:lvlJc w:val="left"/>
    </w:lvl>
    <w:lvl w:ilvl="4" w:tplc="0B02C2D0">
      <w:numFmt w:val="decimal"/>
      <w:lvlText w:val=""/>
      <w:lvlJc w:val="left"/>
    </w:lvl>
    <w:lvl w:ilvl="5" w:tplc="1B9ED690">
      <w:numFmt w:val="decimal"/>
      <w:lvlText w:val=""/>
      <w:lvlJc w:val="left"/>
    </w:lvl>
    <w:lvl w:ilvl="6" w:tplc="D9426038">
      <w:numFmt w:val="decimal"/>
      <w:lvlText w:val=""/>
      <w:lvlJc w:val="left"/>
    </w:lvl>
    <w:lvl w:ilvl="7" w:tplc="9E606D7E">
      <w:numFmt w:val="decimal"/>
      <w:lvlText w:val=""/>
      <w:lvlJc w:val="left"/>
    </w:lvl>
    <w:lvl w:ilvl="8" w:tplc="12A20F50">
      <w:numFmt w:val="decimal"/>
      <w:lvlText w:val=""/>
      <w:lvlJc w:val="left"/>
    </w:lvl>
  </w:abstractNum>
  <w:num w:numId="1" w16cid:durableId="208616738">
    <w:abstractNumId w:val="2"/>
    <w:lvlOverride w:ilvl="0">
      <w:startOverride w:val="1"/>
    </w:lvlOverride>
  </w:num>
  <w:num w:numId="2" w16cid:durableId="1613170908">
    <w:abstractNumId w:val="0"/>
  </w:num>
  <w:num w:numId="3" w16cid:durableId="1031417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isplayBackgroundShape/>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516B"/>
    <w:rsid w:val="0055516B"/>
    <w:rsid w:val="00777247"/>
    <w:rsid w:val="00800160"/>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A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맑은 고딕" w:eastAsia="맑은 고딕" w:hAnsi="맑은 고딕" w:cs="맑은 고딕"/>
        <w:sz w:val="21"/>
        <w:szCs w:val="21"/>
        <w:lang w:val="en-US" w:eastAsia="ko-K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uiPriority="99"/>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99"/>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uiPriority="99"/>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uiPriority="99"/>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uiPriority="99"/>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uiPriority="99"/>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uiPriority="99"/>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rPr>
      <w:sz w:val="20"/>
      <w:szCs w:val="20"/>
    </w:rPr>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rPr>
      <w:sz w:val="20"/>
      <w:szCs w:val="20"/>
    </w:rPr>
  </w:style>
  <w:style w:type="character" w:customStyle="1" w:styleId="Char0">
    <w:name w:val="미주 텍스트 Char"/>
    <w:link w:val="a9"/>
    <w:uiPriority w:val="99"/>
    <w:semiHidden/>
    <w:unhideWhenUsed/>
    <w:rPr>
      <w:sz w:val="20"/>
      <w:szCs w:val="20"/>
    </w:rPr>
  </w:style>
  <w:style w:type="paragraph" w:styleId="aa">
    <w:name w:val="header"/>
    <w:basedOn w:val="a"/>
    <w:link w:val="Char1"/>
    <w:uiPriority w:val="99"/>
    <w:unhideWhenUsed/>
    <w:pPr>
      <w:tabs>
        <w:tab w:val="center" w:pos="4513"/>
        <w:tab w:val="right" w:pos="9026"/>
      </w:tabs>
      <w:snapToGrid w:val="0"/>
    </w:pPr>
  </w:style>
  <w:style w:type="character" w:customStyle="1" w:styleId="Char1">
    <w:name w:val="머리글 Char"/>
    <w:basedOn w:val="a0"/>
    <w:link w:val="aa"/>
    <w:uiPriority w:val="99"/>
  </w:style>
  <w:style w:type="paragraph" w:styleId="ab">
    <w:name w:val="footer"/>
    <w:basedOn w:val="a"/>
    <w:link w:val="Char2"/>
    <w:uiPriority w:val="99"/>
    <w:unhideWhenUsed/>
    <w:pPr>
      <w:tabs>
        <w:tab w:val="center" w:pos="4513"/>
        <w:tab w:val="right" w:pos="9026"/>
      </w:tabs>
      <w:snapToGrid w:val="0"/>
    </w:pPr>
  </w:style>
  <w:style w:type="character" w:customStyle="1" w:styleId="Char2">
    <w:name w:val="바닥글 Char"/>
    <w:basedOn w:val="a0"/>
    <w:link w:val="ab"/>
    <w:uiPriority w:val="99"/>
  </w:style>
  <w:style w:type="paragraph" w:styleId="ac">
    <w:name w:val="Normal (Web)"/>
    <w:basedOn w:val="a"/>
    <w:uiPriority w:val="99"/>
    <w:semiHidden/>
    <w:unhideWhenUsed/>
    <w:pPr>
      <w:widowControl/>
      <w:wordWrap/>
      <w:autoSpaceDE/>
      <w:autoSpaceDN/>
      <w:spacing w:before="100" w:beforeAutospacing="1" w:after="100" w:afterAutospacing="1"/>
    </w:pPr>
    <w:rPr>
      <w:rFonts w:ascii="굴림" w:eastAsia="굴림" w:hAnsi="굴림" w:cs="굴림"/>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12700">
          <a:solidFill>
            <a:schemeClr val="phClr"/>
          </a:solidFill>
          <a:miter lim="800000"/>
        </a:ln>
        <a:ln w="19050">
          <a:solidFill>
            <a:schemeClr val="phClr"/>
          </a:solidFill>
          <a:miter lim="800000"/>
        </a:ln>
        <a:ln w="2540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1657</Characters>
  <Application>Microsoft Office Word</Application>
  <DocSecurity>0</DocSecurity>
  <Lines>75</Lines>
  <Paragraphs>35</Paragraphs>
  <ScaleCrop>false</ScaleCrop>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2026-06-15T01:12:00Z</dcterms:created>
  <dcterms:modified xsi:type="dcterms:W3CDTF">2026-06-28T02:27:00Z</dcterms:modified>
  <cp:version>1000.0100.01</cp:version>
</cp:coreProperties>
</file>